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CB8" w:rsidRDefault="00921CB8">
      <w:pPr>
        <w:spacing w:before="57"/>
        <w:ind w:left="323" w:right="962"/>
        <w:jc w:val="center"/>
        <w:rPr>
          <w:rFonts w:ascii="Georgia" w:eastAsia="Georgia" w:hAnsi="Georgia" w:cs="Georgia"/>
          <w:b/>
          <w:bCs/>
          <w:sz w:val="28"/>
          <w:szCs w:val="28"/>
        </w:rPr>
      </w:pPr>
      <w:bookmarkStart w:id="0" w:name="_GoBack"/>
      <w:bookmarkEnd w:id="0"/>
    </w:p>
    <w:p w:rsidR="002B5DD9" w:rsidRDefault="00E4394B">
      <w:pPr>
        <w:spacing w:before="57"/>
        <w:ind w:left="323" w:right="962"/>
        <w:jc w:val="center"/>
        <w:rPr>
          <w:rFonts w:ascii="Georgia" w:eastAsia="Georgia" w:hAnsi="Georgia" w:cs="Georgia"/>
          <w:sz w:val="28"/>
          <w:szCs w:val="28"/>
        </w:rPr>
      </w:pPr>
      <w:r>
        <w:rPr>
          <w:rFonts w:ascii="Georgia" w:eastAsia="Georgia" w:hAnsi="Georgia" w:cs="Georgia"/>
          <w:b/>
          <w:bCs/>
          <w:sz w:val="28"/>
          <w:szCs w:val="28"/>
        </w:rPr>
        <w:t>HB1012 - Income Tax Credit – Commuter Benefits –</w:t>
      </w:r>
      <w:r>
        <w:rPr>
          <w:rFonts w:ascii="Georgia" w:eastAsia="Georgia" w:hAnsi="Georgia" w:cs="Georgia"/>
          <w:b/>
          <w:bCs/>
          <w:spacing w:val="-20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Eligibility and Credit</w:t>
      </w:r>
      <w:r>
        <w:rPr>
          <w:rFonts w:ascii="Georgia" w:eastAsia="Georgia" w:hAnsi="Georgia" w:cs="Georgia"/>
          <w:b/>
          <w:bCs/>
          <w:spacing w:val="-5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sz w:val="28"/>
          <w:szCs w:val="28"/>
        </w:rPr>
        <w:t>Amount</w:t>
      </w:r>
    </w:p>
    <w:p w:rsidR="002B5DD9" w:rsidRDefault="002B5DD9">
      <w:pPr>
        <w:spacing w:before="11"/>
        <w:rPr>
          <w:rFonts w:ascii="Georgia" w:eastAsia="Georgia" w:hAnsi="Georgia" w:cs="Georgia"/>
          <w:sz w:val="17"/>
          <w:szCs w:val="17"/>
        </w:rPr>
      </w:pPr>
    </w:p>
    <w:p w:rsidR="003173CB" w:rsidRDefault="003173CB">
      <w:pPr>
        <w:pStyle w:val="BodyText"/>
        <w:spacing w:before="73"/>
        <w:ind w:right="720"/>
      </w:pPr>
    </w:p>
    <w:p w:rsidR="002B5DD9" w:rsidRPr="0055369B" w:rsidRDefault="003173CB">
      <w:pPr>
        <w:pStyle w:val="BodyText"/>
        <w:spacing w:before="73"/>
        <w:ind w:right="720"/>
      </w:pPr>
      <w:r>
        <w:t>T</w:t>
      </w:r>
      <w:r w:rsidR="00E4394B" w:rsidRPr="0055369B">
        <w:t>his bill increases the amount of income tax credit that a business can claim for providing commuter benefits to its employees and expands the program to include vehicles with less seating capacity. The current tax credit is capped at $50 a month</w:t>
      </w:r>
      <w:r w:rsidR="00E4394B" w:rsidRPr="0055369B">
        <w:rPr>
          <w:spacing w:val="-33"/>
        </w:rPr>
        <w:t xml:space="preserve"> </w:t>
      </w:r>
      <w:r w:rsidR="00E4394B" w:rsidRPr="0055369B">
        <w:t>per participating employee. This bill increases that amount to</w:t>
      </w:r>
      <w:r w:rsidR="00E4394B" w:rsidRPr="0055369B">
        <w:rPr>
          <w:spacing w:val="-21"/>
        </w:rPr>
        <w:t xml:space="preserve"> </w:t>
      </w:r>
      <w:r w:rsidR="00E4394B" w:rsidRPr="0055369B">
        <w:t>$100.</w:t>
      </w:r>
    </w:p>
    <w:p w:rsidR="002B5DD9" w:rsidRDefault="002B5DD9">
      <w:pPr>
        <w:spacing w:before="2"/>
        <w:rPr>
          <w:rFonts w:ascii="Georgia" w:eastAsia="Georgia" w:hAnsi="Georgia" w:cs="Georgia"/>
          <w:sz w:val="24"/>
          <w:szCs w:val="24"/>
        </w:rPr>
      </w:pPr>
    </w:p>
    <w:p w:rsidR="002B5DD9" w:rsidRDefault="00E4394B">
      <w:pPr>
        <w:ind w:left="100" w:right="720"/>
        <w:rPr>
          <w:rFonts w:ascii="Georgia" w:eastAsia="Georgia" w:hAnsi="Georgia" w:cs="Georgia"/>
          <w:sz w:val="24"/>
          <w:szCs w:val="24"/>
        </w:rPr>
      </w:pPr>
      <w:r>
        <w:rPr>
          <w:rFonts w:ascii="Georgia"/>
          <w:b/>
          <w:sz w:val="24"/>
        </w:rPr>
        <w:t>Why Should the Commuter Tax Credit be</w:t>
      </w:r>
      <w:r>
        <w:rPr>
          <w:rFonts w:ascii="Georgia"/>
          <w:b/>
          <w:spacing w:val="-13"/>
          <w:sz w:val="24"/>
        </w:rPr>
        <w:t xml:space="preserve"> </w:t>
      </w:r>
      <w:proofErr w:type="gramStart"/>
      <w:r>
        <w:rPr>
          <w:rFonts w:ascii="Georgia"/>
          <w:b/>
          <w:sz w:val="24"/>
        </w:rPr>
        <w:t>Expanded</w:t>
      </w:r>
      <w:proofErr w:type="gramEnd"/>
      <w:r>
        <w:rPr>
          <w:rFonts w:ascii="Georgia"/>
          <w:b/>
          <w:sz w:val="24"/>
        </w:rPr>
        <w:t>?</w:t>
      </w:r>
    </w:p>
    <w:p w:rsidR="002B5DD9" w:rsidRDefault="002B5DD9">
      <w:pPr>
        <w:spacing w:before="4"/>
        <w:rPr>
          <w:rFonts w:ascii="Georgia" w:eastAsia="Georgia" w:hAnsi="Georgia" w:cs="Georgia"/>
          <w:b/>
          <w:bCs/>
          <w:sz w:val="24"/>
          <w:szCs w:val="24"/>
        </w:rPr>
      </w:pPr>
    </w:p>
    <w:p w:rsidR="002B5DD9" w:rsidRPr="0055369B" w:rsidRDefault="00921CB8">
      <w:pPr>
        <w:pStyle w:val="BodyText"/>
        <w:ind w:right="55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4019550</wp:posOffset>
                </wp:positionH>
                <wp:positionV relativeFrom="paragraph">
                  <wp:posOffset>0</wp:posOffset>
                </wp:positionV>
                <wp:extent cx="3241675" cy="1571625"/>
                <wp:effectExtent l="0" t="0" r="158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1675" cy="15716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5369B" w:rsidRDefault="0055369B">
                            <w:pPr>
                              <w:spacing w:before="70"/>
                              <w:ind w:left="144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This legislation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spacing w:val="-7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 w:eastAsia="Georgia" w:hAnsi="Georgia" w:cs="Georgia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  <w:t>will…</w:t>
                            </w:r>
                          </w:p>
                          <w:p w:rsidR="0055369B" w:rsidRDefault="00553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" w:line="273" w:lineRule="auto"/>
                              <w:ind w:right="556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sz w:val="24"/>
                              </w:rPr>
                              <w:t>Expand the incentive for employers to participate in the Commuter Choice program</w:t>
                            </w:r>
                          </w:p>
                          <w:p w:rsidR="0055369B" w:rsidRDefault="0055369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05"/>
                              </w:tabs>
                              <w:spacing w:before="1" w:line="276" w:lineRule="auto"/>
                              <w:ind w:right="516"/>
                              <w:rPr>
                                <w:rFonts w:ascii="Georgia" w:eastAsia="Georgia" w:hAnsi="Georgia" w:cs="Georg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/>
                                <w:sz w:val="24"/>
                              </w:rPr>
                              <w:t>Encourage employer-sponsored transportation programs and</w:t>
                            </w:r>
                            <w:r>
                              <w:rPr>
                                <w:rFonts w:ascii="Georgia"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Georgia"/>
                                <w:sz w:val="24"/>
                              </w:rPr>
                              <w:t>last-mile solutions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6.5pt;margin-top:0;width:255.25pt;height:12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" filled="f">
                <v:textbox inset="0,0,0,0">
                  <w:txbxContent>
                    <w:p w:rsidR="0055369B" w:rsidRDefault="0055369B">
                      <w:pPr>
                        <w:spacing w:before="70"/>
                        <w:ind w:left="144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sz w:val="24"/>
                          <w:szCs w:val="24"/>
                        </w:rPr>
                        <w:t>This legislation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spacing w:val="-7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eorgia" w:eastAsia="Georgia" w:hAnsi="Georgia" w:cs="Georgia"/>
                          <w:b/>
                          <w:bCs/>
                          <w:i/>
                          <w:sz w:val="24"/>
                          <w:szCs w:val="24"/>
                        </w:rPr>
                        <w:t>will…</w:t>
                      </w:r>
                    </w:p>
                    <w:p w:rsidR="0055369B" w:rsidRDefault="005536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" w:line="273" w:lineRule="auto"/>
                        <w:ind w:right="556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sz w:val="24"/>
                        </w:rPr>
                        <w:t>Expand the incentive for employers to participate in the Commuter Choice program</w:t>
                      </w:r>
                    </w:p>
                    <w:p w:rsidR="0055369B" w:rsidRDefault="0055369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abs>
                          <w:tab w:val="left" w:pos="505"/>
                        </w:tabs>
                        <w:spacing w:before="1" w:line="276" w:lineRule="auto"/>
                        <w:ind w:right="516"/>
                        <w:rPr>
                          <w:rFonts w:ascii="Georgia" w:eastAsia="Georgia" w:hAnsi="Georgia" w:cs="Georgia"/>
                          <w:sz w:val="24"/>
                          <w:szCs w:val="24"/>
                        </w:rPr>
                      </w:pPr>
                      <w:r>
                        <w:rPr>
                          <w:rFonts w:ascii="Georgia"/>
                          <w:sz w:val="24"/>
                        </w:rPr>
                        <w:t>Encourage employer-sponsored transportation programs and</w:t>
                      </w:r>
                      <w:r>
                        <w:rPr>
                          <w:rFonts w:ascii="Georgia"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rFonts w:ascii="Georgia"/>
                          <w:sz w:val="24"/>
                        </w:rPr>
                        <w:t>last-mile solutions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94B" w:rsidRPr="0055369B">
        <w:t>In 1999, Maryland passed its first Commuter Tax Credit program, and has expanded the program twice, in 2000 and 2002. The program’s initial creation had overwhelming bipartisan support and</w:t>
      </w:r>
      <w:r w:rsidR="00E4394B" w:rsidRPr="0055369B">
        <w:rPr>
          <w:spacing w:val="-16"/>
        </w:rPr>
        <w:t xml:space="preserve"> </w:t>
      </w:r>
      <w:r w:rsidR="00E4394B" w:rsidRPr="0055369B">
        <w:t>both expansions passed unanimously in each chamber of the General</w:t>
      </w:r>
      <w:r w:rsidR="00E4394B" w:rsidRPr="0055369B">
        <w:rPr>
          <w:spacing w:val="-12"/>
        </w:rPr>
        <w:t xml:space="preserve"> </w:t>
      </w:r>
      <w:r w:rsidR="00E4394B" w:rsidRPr="0055369B">
        <w:t>Assembly.</w:t>
      </w:r>
    </w:p>
    <w:p w:rsidR="002B5DD9" w:rsidRPr="0055369B" w:rsidRDefault="00E4394B">
      <w:pPr>
        <w:pStyle w:val="BodyText"/>
        <w:ind w:right="5731"/>
      </w:pPr>
      <w:r w:rsidRPr="0055369B">
        <w:t>Proponents of the program included a diverse coalition of business groups, environmentalists, and transit</w:t>
      </w:r>
      <w:r w:rsidRPr="0055369B">
        <w:rPr>
          <w:spacing w:val="-15"/>
        </w:rPr>
        <w:t xml:space="preserve"> </w:t>
      </w:r>
      <w:r w:rsidRPr="0055369B">
        <w:t>advocates.</w:t>
      </w:r>
    </w:p>
    <w:p w:rsidR="002B5DD9" w:rsidRPr="0055369B" w:rsidRDefault="002B5DD9">
      <w:pPr>
        <w:spacing w:before="4"/>
        <w:rPr>
          <w:rFonts w:ascii="Georgia" w:eastAsia="Georgia" w:hAnsi="Georgia" w:cs="Georgia"/>
          <w:sz w:val="24"/>
          <w:szCs w:val="24"/>
        </w:rPr>
      </w:pPr>
    </w:p>
    <w:p w:rsidR="0047210A" w:rsidRPr="0055369B" w:rsidRDefault="0047210A" w:rsidP="0047210A">
      <w:pPr>
        <w:pStyle w:val="BodyText"/>
        <w:ind w:right="1091"/>
      </w:pPr>
      <w:r w:rsidRPr="0055369B">
        <w:t xml:space="preserve">With the Commuter Tax Credit program Maryland is telling employers we will meet you halfway if you provide your employees a subsidy for costs associated with efficient commuting options including bus, train, </w:t>
      </w:r>
      <w:r w:rsidR="00921CB8" w:rsidRPr="0055369B">
        <w:t>and employer</w:t>
      </w:r>
      <w:r w:rsidRPr="0055369B">
        <w:t xml:space="preserve"> shuttle or vanpooling.</w:t>
      </w:r>
    </w:p>
    <w:p w:rsidR="0047210A" w:rsidRPr="0055369B" w:rsidRDefault="0047210A" w:rsidP="00E4394B">
      <w:pPr>
        <w:pStyle w:val="BodyText"/>
        <w:ind w:right="1091"/>
      </w:pPr>
    </w:p>
    <w:p w:rsidR="00E4394B" w:rsidRPr="0055369B" w:rsidRDefault="00E4394B" w:rsidP="00E4394B">
      <w:pPr>
        <w:pStyle w:val="BodyText"/>
        <w:ind w:right="1091"/>
      </w:pPr>
      <w:r w:rsidRPr="0055369B">
        <w:t xml:space="preserve">Under current law, an employer may claim a credit for up to 50% of the cost of providing certain defined commuter benefits to employees. Under the proposed legislation the 50% threshold remains </w:t>
      </w:r>
      <w:r w:rsidR="00921CB8" w:rsidRPr="0055369B">
        <w:t>unchanged;</w:t>
      </w:r>
      <w:r w:rsidRPr="0055369B">
        <w:t xml:space="preserve"> however, the maximum allowable credit is increased from $50 to $100 per employee per</w:t>
      </w:r>
      <w:r w:rsidRPr="0055369B">
        <w:rPr>
          <w:spacing w:val="-21"/>
        </w:rPr>
        <w:t xml:space="preserve"> </w:t>
      </w:r>
      <w:r w:rsidRPr="0055369B">
        <w:t>month.</w:t>
      </w:r>
    </w:p>
    <w:p w:rsidR="00E4394B" w:rsidRPr="0055369B" w:rsidRDefault="00E4394B" w:rsidP="00E4394B">
      <w:pPr>
        <w:pStyle w:val="BodyText"/>
        <w:ind w:right="1091"/>
      </w:pPr>
    </w:p>
    <w:p w:rsidR="0047210A" w:rsidRPr="0055369B" w:rsidRDefault="00E4394B" w:rsidP="00563AD1">
      <w:pPr>
        <w:pStyle w:val="BodyText"/>
        <w:ind w:right="1091"/>
      </w:pPr>
      <w:r w:rsidRPr="0055369B">
        <w:t xml:space="preserve">Raising the maximum allowable credit will </w:t>
      </w:r>
      <w:r w:rsidR="00563AD1" w:rsidRPr="0055369B">
        <w:t>particularly help</w:t>
      </w:r>
      <w:r w:rsidR="0047210A" w:rsidRPr="0055369B">
        <w:t xml:space="preserve"> improve connections between workers and suburban employers.  That’s because the monthly cost of providing an employer shuttle, subsidizing vanpools, commuter bus or MARC passes often exceed</w:t>
      </w:r>
      <w:r w:rsidR="00563AD1" w:rsidRPr="0055369B">
        <w:t>s</w:t>
      </w:r>
      <w:r w:rsidR="0047210A" w:rsidRPr="0055369B">
        <w:t xml:space="preserve"> $100.  For example, a worker who commutes from Baltimore City to Aberdeen pays</w:t>
      </w:r>
      <w:r w:rsidR="00563AD1" w:rsidRPr="0055369B">
        <w:t xml:space="preserve"> $189 for a MARC monthly pass.  Vanpool costs typically range between $160 and $220 per month.  </w:t>
      </w:r>
      <w:r w:rsidR="0047210A" w:rsidRPr="0055369B">
        <w:t>If an employer subsidizes th</w:t>
      </w:r>
      <w:r w:rsidR="00563AD1" w:rsidRPr="0055369B">
        <w:t>ose</w:t>
      </w:r>
      <w:r w:rsidR="0047210A" w:rsidRPr="0055369B">
        <w:t xml:space="preserve"> expense</w:t>
      </w:r>
      <w:r w:rsidR="00563AD1" w:rsidRPr="0055369B">
        <w:t>s</w:t>
      </w:r>
      <w:r w:rsidR="0047210A" w:rsidRPr="0055369B">
        <w:t>, 50% would be $</w:t>
      </w:r>
      <w:r w:rsidR="00563AD1" w:rsidRPr="0055369B">
        <w:t>80 to $110</w:t>
      </w:r>
      <w:r w:rsidR="0047210A" w:rsidRPr="0055369B">
        <w:t xml:space="preserve"> but the current credit is capped at $50.</w:t>
      </w:r>
    </w:p>
    <w:p w:rsidR="002B5DD9" w:rsidRPr="0055369B" w:rsidRDefault="002B5DD9">
      <w:pPr>
        <w:spacing w:before="11"/>
        <w:rPr>
          <w:rFonts w:ascii="Georgia" w:eastAsia="Georgia" w:hAnsi="Georgia" w:cs="Georgia"/>
          <w:sz w:val="24"/>
          <w:szCs w:val="24"/>
        </w:rPr>
      </w:pPr>
    </w:p>
    <w:p w:rsidR="00563AD1" w:rsidRPr="0055369B" w:rsidRDefault="00563AD1" w:rsidP="00563AD1">
      <w:pPr>
        <w:widowControl/>
        <w:ind w:left="100"/>
        <w:rPr>
          <w:rFonts w:ascii="Georgia" w:hAnsi="Georgia"/>
          <w:sz w:val="24"/>
          <w:szCs w:val="24"/>
        </w:rPr>
      </w:pPr>
      <w:r w:rsidRPr="0055369B">
        <w:rPr>
          <w:rFonts w:ascii="Georgia" w:hAnsi="Georgia"/>
          <w:sz w:val="24"/>
          <w:szCs w:val="24"/>
        </w:rPr>
        <w:t>This is important and necessary because many of the best opportunities for low-skilled and mid-skilled workers are located in employment centers outside traditional downtowns.  These jobs are clustered in places like the I-270 corridor, near Laurel, near BWI, Owings Mills, and the Perryman Peninsula in Harford County.</w:t>
      </w:r>
    </w:p>
    <w:p w:rsidR="00563AD1" w:rsidRPr="0055369B" w:rsidRDefault="00563AD1">
      <w:pPr>
        <w:pStyle w:val="BodyText"/>
        <w:ind w:right="720"/>
      </w:pPr>
    </w:p>
    <w:p w:rsidR="002B5DD9" w:rsidRPr="0055369B" w:rsidRDefault="00E4394B">
      <w:pPr>
        <w:pStyle w:val="BodyText"/>
        <w:ind w:right="720"/>
      </w:pPr>
      <w:r w:rsidRPr="0055369B">
        <w:t>Additionally, the bill reduces from 8 to 6 the seating capacity required for a vehicle to</w:t>
      </w:r>
      <w:r w:rsidRPr="0055369B">
        <w:rPr>
          <w:spacing w:val="-29"/>
        </w:rPr>
        <w:t xml:space="preserve"> </w:t>
      </w:r>
      <w:r w:rsidRPr="0055369B">
        <w:t xml:space="preserve">be eligible for the program. This change would expand the program to </w:t>
      </w:r>
      <w:r w:rsidR="0055369B" w:rsidRPr="0055369B">
        <w:t xml:space="preserve">more </w:t>
      </w:r>
      <w:r w:rsidRPr="0055369B">
        <w:t>vanpools.</w:t>
      </w:r>
    </w:p>
    <w:p w:rsidR="002B5DD9" w:rsidRPr="0055369B" w:rsidRDefault="002B5DD9">
      <w:pPr>
        <w:spacing w:before="11"/>
        <w:rPr>
          <w:rFonts w:ascii="Georgia" w:eastAsia="Georgia" w:hAnsi="Georgia" w:cs="Georgia"/>
          <w:sz w:val="24"/>
          <w:szCs w:val="24"/>
        </w:rPr>
      </w:pPr>
    </w:p>
    <w:p w:rsidR="003173CB" w:rsidRDefault="003173CB" w:rsidP="0055369B">
      <w:pPr>
        <w:pStyle w:val="BodyText"/>
        <w:ind w:right="831"/>
      </w:pPr>
    </w:p>
    <w:p w:rsidR="00E4394B" w:rsidRDefault="00E4394B" w:rsidP="0055369B">
      <w:pPr>
        <w:pStyle w:val="BodyText"/>
        <w:ind w:right="831"/>
      </w:pPr>
      <w:r w:rsidRPr="0055369B">
        <w:lastRenderedPageBreak/>
        <w:t xml:space="preserve">Raising the cap would encourage more employers </w:t>
      </w:r>
      <w:r w:rsidR="0055369B" w:rsidRPr="0055369B">
        <w:t xml:space="preserve">and their employees </w:t>
      </w:r>
      <w:r w:rsidRPr="0055369B">
        <w:t>to mak</w:t>
      </w:r>
      <w:r w:rsidR="008A37F6">
        <w:t xml:space="preserve">e efficient use of our </w:t>
      </w:r>
      <w:r w:rsidRPr="0055369B">
        <w:t>transportation infrastructure, thereby reducing roadway congestion for all travelers.</w:t>
      </w:r>
    </w:p>
    <w:p w:rsidR="00921CB8" w:rsidRDefault="00921CB8" w:rsidP="0055369B">
      <w:pPr>
        <w:pStyle w:val="BodyText"/>
        <w:ind w:right="831"/>
      </w:pPr>
    </w:p>
    <w:p w:rsidR="00921CB8" w:rsidRDefault="00921CB8" w:rsidP="0055369B">
      <w:pPr>
        <w:pStyle w:val="BodyText"/>
        <w:ind w:right="831"/>
      </w:pPr>
      <w:r>
        <w:t xml:space="preserve">Eligible uses include: </w:t>
      </w:r>
    </w:p>
    <w:p w:rsidR="00921CB8" w:rsidRDefault="00921CB8" w:rsidP="00921CB8">
      <w:pPr>
        <w:pStyle w:val="BodyText"/>
        <w:numPr>
          <w:ilvl w:val="0"/>
          <w:numId w:val="4"/>
        </w:numPr>
        <w:ind w:right="831"/>
      </w:pPr>
      <w:r>
        <w:t>Transit passes</w:t>
      </w:r>
    </w:p>
    <w:p w:rsidR="00921CB8" w:rsidRDefault="00921CB8" w:rsidP="00921CB8">
      <w:pPr>
        <w:pStyle w:val="BodyText"/>
        <w:numPr>
          <w:ilvl w:val="0"/>
          <w:numId w:val="4"/>
        </w:numPr>
        <w:ind w:right="831"/>
      </w:pPr>
      <w:r>
        <w:t>Vanpools with seating capacity of at least 6</w:t>
      </w:r>
    </w:p>
    <w:p w:rsidR="00921CB8" w:rsidRDefault="00921CB8" w:rsidP="00921CB8">
      <w:pPr>
        <w:pStyle w:val="BodyText"/>
        <w:numPr>
          <w:ilvl w:val="0"/>
          <w:numId w:val="4"/>
        </w:numPr>
        <w:ind w:right="831"/>
      </w:pPr>
      <w:r>
        <w:t>Parking “Cash-Out” program</w:t>
      </w:r>
    </w:p>
    <w:p w:rsidR="00921CB8" w:rsidRDefault="00921CB8" w:rsidP="00921CB8">
      <w:pPr>
        <w:pStyle w:val="BodyText"/>
        <w:numPr>
          <w:ilvl w:val="0"/>
          <w:numId w:val="4"/>
        </w:numPr>
        <w:ind w:right="831"/>
      </w:pPr>
      <w:r>
        <w:t>Guaranteed Ride How program</w:t>
      </w:r>
    </w:p>
    <w:p w:rsidR="00921CB8" w:rsidRDefault="00921CB8" w:rsidP="00921CB8">
      <w:pPr>
        <w:pStyle w:val="BodyText"/>
        <w:ind w:right="831"/>
      </w:pPr>
    </w:p>
    <w:p w:rsidR="00921CB8" w:rsidRDefault="00921CB8" w:rsidP="00921CB8">
      <w:pPr>
        <w:pStyle w:val="BodyText"/>
        <w:ind w:right="831"/>
      </w:pPr>
    </w:p>
    <w:p w:rsidR="00921CB8" w:rsidRDefault="00921CB8" w:rsidP="00921CB8">
      <w:pPr>
        <w:pStyle w:val="BodyText"/>
        <w:ind w:right="831"/>
      </w:pPr>
      <w:r>
        <w:t>Bill had no opposition and support included by MDOT, BWI Partnership, Central Maryland Transportation Alliance, Baltimore Metropolitan Council, Citizen Planning and Housing Association, 1000 Friends of Maryland.</w:t>
      </w:r>
    </w:p>
    <w:p w:rsidR="00921CB8" w:rsidRDefault="00921CB8" w:rsidP="00921CB8">
      <w:pPr>
        <w:pStyle w:val="BodyText"/>
        <w:ind w:right="831"/>
      </w:pPr>
    </w:p>
    <w:p w:rsidR="00921CB8" w:rsidRDefault="00921CB8" w:rsidP="00921CB8">
      <w:pPr>
        <w:pStyle w:val="BodyText"/>
        <w:ind w:left="820" w:right="831"/>
      </w:pPr>
    </w:p>
    <w:sectPr w:rsidR="00921CB8" w:rsidSect="002B5DD9">
      <w:type w:val="continuous"/>
      <w:pgSz w:w="12240" w:h="15840"/>
      <w:pgMar w:top="1380" w:right="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807"/>
    <w:multiLevelType w:val="hybridMultilevel"/>
    <w:tmpl w:val="92DEB822"/>
    <w:lvl w:ilvl="0" w:tplc="65721F02">
      <w:start w:val="1"/>
      <w:numFmt w:val="bullet"/>
      <w:lvlText w:val=""/>
      <w:lvlJc w:val="left"/>
      <w:pPr>
        <w:ind w:left="504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E37CB928">
      <w:start w:val="1"/>
      <w:numFmt w:val="bullet"/>
      <w:lvlText w:val="•"/>
      <w:lvlJc w:val="left"/>
      <w:pPr>
        <w:ind w:left="959" w:hanging="360"/>
      </w:pPr>
      <w:rPr>
        <w:rFonts w:hint="default"/>
      </w:rPr>
    </w:lvl>
    <w:lvl w:ilvl="2" w:tplc="BAC0F3A4">
      <w:start w:val="1"/>
      <w:numFmt w:val="bullet"/>
      <w:lvlText w:val="•"/>
      <w:lvlJc w:val="left"/>
      <w:pPr>
        <w:ind w:left="1418" w:hanging="360"/>
      </w:pPr>
      <w:rPr>
        <w:rFonts w:hint="default"/>
      </w:rPr>
    </w:lvl>
    <w:lvl w:ilvl="3" w:tplc="9BD0DFD6">
      <w:start w:val="1"/>
      <w:numFmt w:val="bullet"/>
      <w:lvlText w:val="•"/>
      <w:lvlJc w:val="left"/>
      <w:pPr>
        <w:ind w:left="1877" w:hanging="360"/>
      </w:pPr>
      <w:rPr>
        <w:rFonts w:hint="default"/>
      </w:rPr>
    </w:lvl>
    <w:lvl w:ilvl="4" w:tplc="C1DA54AC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5" w:tplc="CA1625B2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6" w:tplc="A802C70C">
      <w:start w:val="1"/>
      <w:numFmt w:val="bullet"/>
      <w:lvlText w:val="•"/>
      <w:lvlJc w:val="left"/>
      <w:pPr>
        <w:ind w:left="3254" w:hanging="360"/>
      </w:pPr>
      <w:rPr>
        <w:rFonts w:hint="default"/>
      </w:rPr>
    </w:lvl>
    <w:lvl w:ilvl="7" w:tplc="D1D6B46C">
      <w:start w:val="1"/>
      <w:numFmt w:val="bullet"/>
      <w:lvlText w:val="•"/>
      <w:lvlJc w:val="left"/>
      <w:pPr>
        <w:ind w:left="3713" w:hanging="360"/>
      </w:pPr>
      <w:rPr>
        <w:rFonts w:hint="default"/>
      </w:rPr>
    </w:lvl>
    <w:lvl w:ilvl="8" w:tplc="1DF8327E">
      <w:start w:val="1"/>
      <w:numFmt w:val="bullet"/>
      <w:lvlText w:val="•"/>
      <w:lvlJc w:val="left"/>
      <w:pPr>
        <w:ind w:left="4172" w:hanging="360"/>
      </w:pPr>
      <w:rPr>
        <w:rFonts w:hint="default"/>
      </w:rPr>
    </w:lvl>
  </w:abstractNum>
  <w:abstractNum w:abstractNumId="1">
    <w:nsid w:val="22A707D8"/>
    <w:multiLevelType w:val="hybridMultilevel"/>
    <w:tmpl w:val="568A3F62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6E492C2F"/>
    <w:multiLevelType w:val="hybridMultilevel"/>
    <w:tmpl w:val="642A2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D9"/>
    <w:rsid w:val="0018161D"/>
    <w:rsid w:val="002B5DD9"/>
    <w:rsid w:val="003173CB"/>
    <w:rsid w:val="00464FE2"/>
    <w:rsid w:val="0047210A"/>
    <w:rsid w:val="004810AA"/>
    <w:rsid w:val="0055369B"/>
    <w:rsid w:val="00563AD1"/>
    <w:rsid w:val="008A37F6"/>
    <w:rsid w:val="00921CB8"/>
    <w:rsid w:val="00E4394B"/>
    <w:rsid w:val="00F9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5DD9"/>
    <w:pPr>
      <w:ind w:left="1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DD9"/>
  </w:style>
  <w:style w:type="paragraph" w:customStyle="1" w:styleId="TableParagraph">
    <w:name w:val="Table Paragraph"/>
    <w:basedOn w:val="Normal"/>
    <w:uiPriority w:val="1"/>
    <w:qFormat/>
    <w:rsid w:val="002B5D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5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5DD9"/>
    <w:pPr>
      <w:ind w:left="100"/>
    </w:pPr>
    <w:rPr>
      <w:rFonts w:ascii="Georgia" w:eastAsia="Georgia" w:hAnsi="Georgia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DD9"/>
  </w:style>
  <w:style w:type="paragraph" w:customStyle="1" w:styleId="TableParagraph">
    <w:name w:val="Table Paragraph"/>
    <w:basedOn w:val="Normal"/>
    <w:uiPriority w:val="1"/>
    <w:qFormat/>
    <w:rsid w:val="002B5D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1000 Friends of Maryland, Inc.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Lierman, Brooke Delegate (Laptop)</dc:creator>
  <cp:lastModifiedBy>Robin</cp:lastModifiedBy>
  <cp:revision>2</cp:revision>
  <dcterms:created xsi:type="dcterms:W3CDTF">2016-05-04T18:31:00Z</dcterms:created>
  <dcterms:modified xsi:type="dcterms:W3CDTF">2016-05-04T18:31:00Z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2016-02-18T00:00:00Z</vt:filetime>
  </property>
</Properties>
</file>